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sz w:val="32"/>
          <w:szCs w:val="20"/>
          <w:lang w:eastAsia="ru-RU"/>
        </w:rPr>
      </w:pPr>
      <w:r>
        <w:rPr>
          <w:rFonts w:ascii="Arial" w:hAnsi="Arial" w:cs="Arial"/>
          <w:b/>
          <w:noProof/>
          <w:sz w:val="32"/>
          <w:szCs w:val="20"/>
          <w:lang w:eastAsia="ru-RU"/>
        </w:rPr>
        <w:drawing>
          <wp:inline distT="0" distB="0" distL="0" distR="0">
            <wp:extent cx="1295400" cy="91440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hAnsi="Times New Roman" w:cs="Arial"/>
          <w:sz w:val="20"/>
          <w:szCs w:val="20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ЧУКОТСКИЙ АВТОНОМНЫЙ ОКРУГ</w:t>
      </w:r>
    </w:p>
    <w:p>
      <w:pPr>
        <w:spacing w:after="0" w:line="240" w:lineRule="auto"/>
        <w:jc w:val="right"/>
        <w:rPr>
          <w:rFonts w:ascii="Times New Roman" w:hAnsi="Times New Roman"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городского округа Анадырь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(IV сессия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>От 28 ноября 2019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28"/>
          <w:szCs w:val="28"/>
        </w:rPr>
        <w:t>№ 22</w:t>
      </w: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системе оплаты труда работников Муниципального бюджетного учреждения городского округа Анадырь «Служба содержания и благоустройства»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</w:t>
      </w:r>
      <w:r>
        <w:rPr>
          <w:rFonts w:ascii="Times New Roman" w:eastAsiaTheme="minorHAnsi" w:hAnsi="Times New Roman"/>
          <w:sz w:val="28"/>
          <w:szCs w:val="28"/>
        </w:rPr>
        <w:t xml:space="preserve"> регулирования правоотношений в сфере оплаты труда работников </w:t>
      </w:r>
      <w:r>
        <w:rPr>
          <w:rFonts w:ascii="Times New Roman" w:hAnsi="Times New Roman"/>
          <w:sz w:val="28"/>
          <w:szCs w:val="28"/>
        </w:rPr>
        <w:t>Муниципального бюджетного учреждения городского округа Анадырь «Служба содержания и благоустройства»,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 Е Ш И Л: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 для работников Муниципального бюджетного учреждения городского округа Анадырь «Служба содержания и благоустройства» (далее – муниципальное учреждение) </w:t>
      </w:r>
      <w:r>
        <w:rPr>
          <w:rFonts w:ascii="Times New Roman" w:eastAsiaTheme="minorHAnsi" w:hAnsi="Times New Roman"/>
          <w:sz w:val="28"/>
          <w:szCs w:val="28"/>
        </w:rPr>
        <w:t>систему оплаты труда, предусматривающую:</w:t>
      </w:r>
    </w:p>
    <w:p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оклады работников муниципального учреждения, включенных в профессиональные квалификационные группы;</w:t>
      </w:r>
    </w:p>
    <w:p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оклады работников муниципального учреждения, не включенных в профессиональные квалификационные группы;</w:t>
      </w:r>
    </w:p>
    <w:p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должностные оклады руководителя муниципального учреждения, заместителя руководителя муниципального учреждения и главного бухгалтера муниципального учреждения;</w:t>
      </w:r>
    </w:p>
    <w:p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компенсационные и стимулирующие выплаты.</w:t>
      </w:r>
    </w:p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2. В соответствии с Трудовым кодексом Российской Федерации система оплаты труда работников муниципального учреждения устанавливается с учетом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стандартов, а также с учетом государственных гарантий по оплате труда, рекомендаций Российской трехсторонней комиссии по регулированию социально-трудовых отношений и мнения соответствующих профсоюзов (объединений профсоюзов) и объединений работодателей.</w:t>
      </w:r>
    </w:p>
    <w:p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Структура фонда оплаты труда работников муниципального учреждения определяется в соответствии с приложением к настоящему решению (с учетом районного коэффициента и процентной надбавки за стаж работы в районах Крайнего Севера и приравненных к ним местностях, установленных Правительством Российской Федерации).</w:t>
      </w:r>
    </w:p>
    <w:p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eastAsiaTheme="minorHAnsi" w:hAnsi="Times New Roman"/>
          <w:sz w:val="28"/>
          <w:szCs w:val="28"/>
        </w:rPr>
        <w:t xml:space="preserve"> Порядок формирования и использования фонда оплаты труда работников муниципального учреждения, в том числе установление окладов работников по профессиональным квалификационным группам, окладов работников, не включенных в профессиональные квалификационные группы, порядка определения должностного оклада руководителя, заместителя руководителя и главного бухгалтера муниципального учреждения, видов и размеров компенсационных и стимулирующих выплат работникам муниципального учреждения в рамках сформированного фонда оплаты труда, определяется положением об оплате труда работников муниципального учреждения, утверждаемым Администрацией городского округа Анадырь.</w:t>
      </w:r>
    </w:p>
    <w:p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Финансирование расходов, связанных с оплатой труда работников муниципального учреждения осуществляется за счет средств бюджета городского округа Анадырь.</w:t>
      </w:r>
    </w:p>
    <w:p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6. Настоящее решение вступает в силу с момента официального опубликования.</w:t>
      </w:r>
    </w:p>
    <w:tbl>
      <w:tblPr>
        <w:tblW w:w="9492" w:type="dxa"/>
        <w:tblLook w:val="01E0" w:firstRow="1" w:lastRow="1" w:firstColumn="1" w:lastColumn="1" w:noHBand="0" w:noVBand="0"/>
      </w:tblPr>
      <w:tblGrid>
        <w:gridCol w:w="5098"/>
        <w:gridCol w:w="4394"/>
      </w:tblGrid>
      <w:tr>
        <w:tc>
          <w:tcPr>
            <w:tcW w:w="5098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Главы городского округа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_________________Л.А. Николаев</w:t>
            </w:r>
          </w:p>
        </w:tc>
        <w:tc>
          <w:tcPr>
            <w:tcW w:w="4394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ноября 2019 года</w:t>
      </w:r>
    </w:p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</w:t>
      </w:r>
    </w:p>
    <w:p>
      <w:pPr>
        <w:ind w:firstLine="708"/>
        <w:jc w:val="both"/>
        <w:rPr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3"/>
        <w:gridCol w:w="4732"/>
      </w:tblGrid>
      <w:tr>
        <w:trPr>
          <w:trHeight w:val="1549"/>
        </w:trPr>
        <w:tc>
          <w:tcPr>
            <w:tcW w:w="4968" w:type="dxa"/>
          </w:tcPr>
          <w:p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Приложение </w:t>
            </w:r>
          </w:p>
          <w:p>
            <w:pPr>
              <w:pStyle w:val="a3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 Решению Совета депутатов</w:t>
            </w:r>
          </w:p>
          <w:p>
            <w:pPr>
              <w:pStyle w:val="a3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городского округа Анадырь</w:t>
            </w:r>
          </w:p>
          <w:p>
            <w:pPr>
              <w:pStyle w:val="a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 28 ноября 2019 года № 22</w:t>
            </w:r>
            <w:bookmarkStart w:id="0" w:name="_GoBack"/>
            <w:bookmarkEnd w:id="0"/>
          </w:p>
        </w:tc>
      </w:tr>
    </w:tbl>
    <w:p>
      <w:pPr>
        <w:jc w:val="both"/>
        <w:rPr>
          <w:rFonts w:ascii="Times New Roman" w:hAnsi="Times New Roman"/>
          <w:sz w:val="24"/>
          <w:szCs w:val="24"/>
        </w:rPr>
      </w:pPr>
    </w:p>
    <w:p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Структура фонда оплаты труда работников </w:t>
      </w:r>
    </w:p>
    <w:p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бюджетного учреждения городского округа Анадырь «Служба содержания и благоустройства»</w:t>
      </w:r>
    </w:p>
    <w:p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Фонд оплаты труда работников муниципального учреждения состоит из основного и дополнительного фондов.</w:t>
      </w:r>
    </w:p>
    <w:p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 Основной фонд состоит из:</w:t>
      </w:r>
    </w:p>
    <w:p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окладов работников муниципального учреждения по профессиональным квалификационным группам;</w:t>
      </w:r>
    </w:p>
    <w:p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окладов работников муниципального учреждения, не включенных в профессиональные квалификационные группы;</w:t>
      </w:r>
    </w:p>
    <w:p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должностных окладов руководителя, заместителя руководителя и главного бухгалтера муниципального учреждения.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Дополнительный фонд состоит из:</w:t>
      </w: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3005"/>
        <w:gridCol w:w="5102"/>
      </w:tblGrid>
      <w:t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N п/п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Наименование выплат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Размер выплат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Фонд компенсационных и стимулирующих выплат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 (двенадцать) окладов работников по профессиональным квалификационным группам, окладов работников, не включенных в профессиональные квалификационные группы, должностных окладов руководителя муниципального учреждения, заместителя руководителя и главного бухгалтера муниципального учреждения, в год</w:t>
            </w:r>
          </w:p>
        </w:tc>
      </w:tr>
    </w:tbl>
    <w:p>
      <w:pPr>
        <w:jc w:val="center"/>
        <w:rPr>
          <w:rFonts w:ascii="Times New Roman" w:hAnsi="Times New Roman"/>
          <w:sz w:val="28"/>
          <w:szCs w:val="28"/>
        </w:rPr>
      </w:pPr>
    </w:p>
    <w:p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>
      <w:pPr>
        <w:pStyle w:val="a3"/>
        <w:ind w:firstLine="708"/>
        <w:jc w:val="both"/>
        <w:rPr>
          <w:color w:val="000000"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F02702-3F57-4357-8D4F-D2DF30E6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6">
    <w:name w:val="Title"/>
    <w:basedOn w:val="a"/>
    <w:link w:val="a7"/>
    <w:qFormat/>
    <w:pPr>
      <w:spacing w:after="0"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Pr>
      <w:rFonts w:ascii="Arial" w:eastAsia="Times New Roman" w:hAnsi="Arial" w:cs="Arial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6</cp:revision>
  <cp:lastPrinted>2019-11-28T02:51:00Z</cp:lastPrinted>
  <dcterms:created xsi:type="dcterms:W3CDTF">2019-11-20T07:32:00Z</dcterms:created>
  <dcterms:modified xsi:type="dcterms:W3CDTF">2019-11-28T23:32:00Z</dcterms:modified>
</cp:coreProperties>
</file>